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right="111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Kiln Share Terms and Conditions </w:t>
      </w:r>
    </w:p>
    <w:p w:rsidR="00000000" w:rsidDel="00000000" w:rsidP="00000000" w:rsidRDefault="00000000" w:rsidRPr="00000000" w14:paraId="00000002">
      <w:pPr>
        <w:spacing w:after="0" w:lineRule="auto"/>
        <w:ind w:right="111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spacing w:after="0" w:lineRule="auto"/>
        <w:ind w:right="1110"/>
        <w:rPr>
          <w:rFonts w:ascii="Arial" w:cs="Arial" w:eastAsia="Arial" w:hAnsi="Arial"/>
          <w:sz w:val="22"/>
          <w:szCs w:val="22"/>
        </w:rPr>
      </w:pPr>
      <w:r w:rsidDel="00000000" w:rsidR="00000000" w:rsidRPr="00000000">
        <w:rPr>
          <w:rFonts w:ascii="Arial" w:cs="Arial" w:eastAsia="Arial" w:hAnsi="Arial"/>
          <w:sz w:val="22"/>
          <w:szCs w:val="22"/>
          <w:rtl w:val="0"/>
        </w:rPr>
        <w:t xml:space="preserve">Kiln shares are booked and carried out by our Ceramic Studio technician Hannah.</w:t>
      </w:r>
    </w:p>
    <w:p w:rsidR="00000000" w:rsidDel="00000000" w:rsidP="00000000" w:rsidRDefault="00000000" w:rsidRPr="00000000" w14:paraId="00000004">
      <w:pPr>
        <w:spacing w:after="0" w:lineRule="auto"/>
        <w:ind w:right="1110"/>
        <w:rPr>
          <w:rFonts w:ascii="Arial" w:cs="Arial" w:eastAsia="Arial" w:hAnsi="Arial"/>
          <w:sz w:val="22"/>
          <w:szCs w:val="22"/>
        </w:rPr>
      </w:pPr>
      <w:r w:rsidDel="00000000" w:rsidR="00000000" w:rsidRPr="00000000">
        <w:rPr>
          <w:rFonts w:ascii="Arial" w:cs="Arial" w:eastAsia="Arial" w:hAnsi="Arial"/>
          <w:sz w:val="22"/>
          <w:szCs w:val="22"/>
          <w:rtl w:val="0"/>
        </w:rPr>
        <w:t xml:space="preserve">If you would like to book a firing you will need to get in touch in advance of your desired date as we often have a long waiting list.</w:t>
      </w:r>
    </w:p>
    <w:p w:rsidR="00000000" w:rsidDel="00000000" w:rsidP="00000000" w:rsidRDefault="00000000" w:rsidRPr="00000000" w14:paraId="00000005">
      <w:pPr>
        <w:spacing w:after="0" w:lineRule="auto"/>
        <w:ind w:right="1110"/>
        <w:rPr>
          <w:rFonts w:ascii="Arial" w:cs="Arial" w:eastAsia="Arial" w:hAnsi="Arial"/>
          <w:sz w:val="22"/>
          <w:szCs w:val="22"/>
        </w:rPr>
      </w:pPr>
      <w:r w:rsidDel="00000000" w:rsidR="00000000" w:rsidRPr="00000000">
        <w:rPr>
          <w:rFonts w:ascii="Arial" w:cs="Arial" w:eastAsia="Arial" w:hAnsi="Arial"/>
          <w:sz w:val="22"/>
          <w:szCs w:val="22"/>
          <w:rtl w:val="0"/>
        </w:rPr>
        <w:t xml:space="preserve">For a price list and kiln share availability please contact hannah@the-arthouse.org.uk.</w:t>
      </w:r>
    </w:p>
    <w:p w:rsidR="00000000" w:rsidDel="00000000" w:rsidP="00000000" w:rsidRDefault="00000000" w:rsidRPr="00000000" w14:paraId="00000006">
      <w:pPr>
        <w:spacing w:after="0" w:lineRule="auto"/>
        <w:ind w:right="1110"/>
        <w:rPr>
          <w:rFonts w:ascii="Arial" w:cs="Arial" w:eastAsia="Arial" w:hAnsi="Arial"/>
          <w:sz w:val="22"/>
          <w:szCs w:val="22"/>
        </w:rPr>
      </w:pPr>
      <w:r w:rsidDel="00000000" w:rsidR="00000000" w:rsidRPr="00000000">
        <w:rPr>
          <w:rFonts w:ascii="Arial" w:cs="Arial" w:eastAsia="Arial" w:hAnsi="Arial"/>
          <w:sz w:val="22"/>
          <w:szCs w:val="22"/>
          <w:rtl w:val="0"/>
        </w:rPr>
        <w:t xml:space="preserve">If you need to cancel your booking for any reason please let us know as soon as possible so your space can be offered to another kiln share user.</w:t>
      </w:r>
    </w:p>
    <w:p w:rsidR="00000000" w:rsidDel="00000000" w:rsidP="00000000" w:rsidRDefault="00000000" w:rsidRPr="00000000" w14:paraId="00000007">
      <w:pPr>
        <w:spacing w:after="0" w:lineRule="auto"/>
        <w:ind w:right="111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spacing w:after="0" w:lineRule="auto"/>
        <w:ind w:right="1110"/>
        <w:rPr>
          <w:rFonts w:ascii="Arial" w:cs="Arial" w:eastAsia="Arial" w:hAnsi="Arial"/>
          <w:sz w:val="22"/>
          <w:szCs w:val="22"/>
        </w:rPr>
      </w:pPr>
      <w:r w:rsidDel="00000000" w:rsidR="00000000" w:rsidRPr="00000000">
        <w:rPr>
          <w:rFonts w:ascii="Arial" w:cs="Arial" w:eastAsia="Arial" w:hAnsi="Arial"/>
          <w:sz w:val="22"/>
          <w:szCs w:val="22"/>
          <w:rtl w:val="0"/>
        </w:rPr>
        <w:t xml:space="preserve">All work must be dropped off prior to the date of your booking, our technician will get in touch with you to arrange a drop off date and time. We will let you know when your work is ready to be collected. </w:t>
      </w:r>
    </w:p>
    <w:p w:rsidR="00000000" w:rsidDel="00000000" w:rsidP="00000000" w:rsidRDefault="00000000" w:rsidRPr="00000000" w14:paraId="00000009">
      <w:pPr>
        <w:spacing w:after="0" w:lineRule="auto"/>
        <w:ind w:right="111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after="0" w:lineRule="auto"/>
        <w:ind w:right="1110"/>
        <w:rPr>
          <w:rFonts w:ascii="Arial" w:cs="Arial" w:eastAsia="Arial" w:hAnsi="Arial"/>
          <w:sz w:val="22"/>
          <w:szCs w:val="22"/>
        </w:rPr>
      </w:pPr>
      <w:r w:rsidDel="00000000" w:rsidR="00000000" w:rsidRPr="00000000">
        <w:rPr>
          <w:rFonts w:ascii="Arial" w:cs="Arial" w:eastAsia="Arial" w:hAnsi="Arial"/>
          <w:sz w:val="22"/>
          <w:szCs w:val="22"/>
          <w:rtl w:val="0"/>
        </w:rPr>
        <w:t xml:space="preserve">You must make us aware of any specific firing schedules and temperatures you would like to fire prior to your booking otherwise they will be run at the standard schedule The Art House follows.</w:t>
      </w:r>
    </w:p>
    <w:p w:rsidR="00000000" w:rsidDel="00000000" w:rsidP="00000000" w:rsidRDefault="00000000" w:rsidRPr="00000000" w14:paraId="0000000B">
      <w:pPr>
        <w:spacing w:after="0" w:lineRule="auto"/>
        <w:ind w:right="1110"/>
        <w:rPr>
          <w:rFonts w:ascii="Arial" w:cs="Arial" w:eastAsia="Arial" w:hAnsi="Arial"/>
          <w:sz w:val="22"/>
          <w:szCs w:val="22"/>
        </w:rPr>
      </w:pPr>
      <w:r w:rsidDel="00000000" w:rsidR="00000000" w:rsidRPr="00000000">
        <w:rPr>
          <w:rFonts w:ascii="Arial" w:cs="Arial" w:eastAsia="Arial" w:hAnsi="Arial"/>
          <w:sz w:val="22"/>
          <w:szCs w:val="22"/>
          <w:rtl w:val="0"/>
        </w:rPr>
        <w:t xml:space="preserve">Each kiln user will need to make sure their work is adequately prepared for firing i.e fully dry and bottoms are clean etc. </w:t>
      </w:r>
    </w:p>
    <w:p w:rsidR="00000000" w:rsidDel="00000000" w:rsidP="00000000" w:rsidRDefault="00000000" w:rsidRPr="00000000" w14:paraId="0000000C">
      <w:pPr>
        <w:spacing w:after="0" w:lineRule="auto"/>
        <w:ind w:right="111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after="0" w:lineRule="auto"/>
        <w:ind w:right="1110"/>
        <w:rPr>
          <w:rFonts w:ascii="Arial" w:cs="Arial" w:eastAsia="Arial" w:hAnsi="Arial"/>
          <w:sz w:val="22"/>
          <w:szCs w:val="22"/>
        </w:rPr>
      </w:pPr>
      <w:r w:rsidDel="00000000" w:rsidR="00000000" w:rsidRPr="00000000">
        <w:rPr>
          <w:rFonts w:ascii="Arial" w:cs="Arial" w:eastAsia="Arial" w:hAnsi="Arial"/>
          <w:sz w:val="22"/>
          <w:szCs w:val="22"/>
          <w:rtl w:val="0"/>
        </w:rPr>
        <w:t xml:space="preserve">Each user must be fully aware and take into consideration the risks that can come with any firing, The Art House cannot be held responsible for any damage to your work that may occur during a firing. </w:t>
      </w:r>
    </w:p>
    <w:p w:rsidR="00000000" w:rsidDel="00000000" w:rsidP="00000000" w:rsidRDefault="00000000" w:rsidRPr="00000000" w14:paraId="0000000E">
      <w:pPr>
        <w:spacing w:after="0" w:lineRule="auto"/>
        <w:ind w:right="1110"/>
        <w:rPr>
          <w:rFonts w:ascii="Arial" w:cs="Arial" w:eastAsia="Arial" w:hAnsi="Arial"/>
          <w:sz w:val="22"/>
          <w:szCs w:val="22"/>
        </w:rPr>
      </w:pPr>
      <w:r w:rsidDel="00000000" w:rsidR="00000000" w:rsidRPr="00000000">
        <w:rPr>
          <w:rFonts w:ascii="Arial" w:cs="Arial" w:eastAsia="Arial" w:hAnsi="Arial"/>
          <w:sz w:val="22"/>
          <w:szCs w:val="22"/>
          <w:rtl w:val="0"/>
        </w:rPr>
        <w:t xml:space="preserve">If any damage occurs to our kiln during the firing process (i.e damaged kiln shelf or coils) we will charge the user appropriately. </w:t>
      </w:r>
    </w:p>
    <w:p w:rsidR="00000000" w:rsidDel="00000000" w:rsidP="00000000" w:rsidRDefault="00000000" w:rsidRPr="00000000" w14:paraId="0000000F">
      <w:pPr>
        <w:spacing w:after="0" w:lineRule="auto"/>
        <w:ind w:right="1110"/>
        <w:rPr>
          <w:rFonts w:ascii="Arial" w:cs="Arial" w:eastAsia="Arial" w:hAnsi="Arial"/>
          <w:sz w:val="22"/>
          <w:szCs w:val="22"/>
        </w:rPr>
      </w:pPr>
      <w:r w:rsidDel="00000000" w:rsidR="00000000" w:rsidRPr="00000000">
        <w:rPr>
          <w:rFonts w:ascii="Arial" w:cs="Arial" w:eastAsia="Arial" w:hAnsi="Arial"/>
          <w:sz w:val="22"/>
          <w:szCs w:val="22"/>
          <w:rtl w:val="0"/>
        </w:rPr>
        <w:t xml:space="preserve">If you are unsure of a glaze or clay stability please test accordingly beforehand to avoid damage. </w:t>
      </w:r>
    </w:p>
    <w:p w:rsidR="00000000" w:rsidDel="00000000" w:rsidP="00000000" w:rsidRDefault="00000000" w:rsidRPr="00000000" w14:paraId="00000010">
      <w:pPr>
        <w:spacing w:after="0" w:lineRule="auto"/>
        <w:ind w:right="111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hd w:fill="ffffff" w:val="clear"/>
        <w:spacing w:after="0" w:lineRule="auto"/>
        <w:ind w:left="0" w:right="8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Art House is a safe and equal space for all. We expect all users to uphold the same values and treat staff with courtesy and respect. Discrimination of any kind will not be tolerated.</w:t>
      </w:r>
    </w:p>
    <w:p w:rsidR="00000000" w:rsidDel="00000000" w:rsidP="00000000" w:rsidRDefault="00000000" w:rsidRPr="00000000" w14:paraId="00000012">
      <w:pPr>
        <w:shd w:fill="ffffff" w:val="clear"/>
        <w:spacing w:after="0" w:lineRule="auto"/>
        <w:ind w:left="0" w:right="8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shd w:fill="ffffff" w:val="clear"/>
        <w:spacing w:after="0" w:lineRule="auto"/>
        <w:ind w:left="0" w:right="111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Art House reserves the right to terminate any booking without refund should a user be found to be using unsafe practices or to be in breach of any guidance given, including our Equality and Diversity Policy.</w:t>
      </w:r>
    </w:p>
    <w:p w:rsidR="00000000" w:rsidDel="00000000" w:rsidP="00000000" w:rsidRDefault="00000000" w:rsidRPr="00000000" w14:paraId="00000014">
      <w:pPr>
        <w:shd w:fill="ffffff" w:val="clear"/>
        <w:spacing w:after="0" w:lineRule="auto"/>
        <w:ind w:left="0" w:right="8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spacing w:after="0" w:lineRule="auto"/>
        <w:ind w:right="84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after="0" w:lineRule="auto"/>
        <w:ind w:right="111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spacing w:after="0" w:lineRule="auto"/>
        <w:ind w:right="111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pacing w:after="0" w:lineRule="auto"/>
        <w:ind w:right="111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spacing w:after="0" w:lineRule="auto"/>
        <w:ind w:right="111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spacing w:after="0" w:lineRule="auto"/>
        <w:ind w:right="111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r>
    </w:p>
    <w:sectPr>
      <w:headerReference r:id="rId7" w:type="default"/>
      <w:footerReference r:id="rId8" w:type="default"/>
      <w:pgSz w:h="16838" w:w="11906" w:orient="portrait"/>
      <w:pgMar w:bottom="2050" w:top="2084" w:left="1440" w:right="0" w:header="708" w:footer="9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 w:name="Gordit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spacing w:after="0" w:line="240" w:lineRule="auto"/>
      <w:ind w:left="-426" w:right="827" w:firstLine="0"/>
      <w:jc w:val="right"/>
      <w:rPr>
        <w:rFonts w:ascii="Gordita" w:cs="Gordita" w:eastAsia="Gordita" w:hAnsi="Gordita"/>
        <w:sz w:val="20"/>
        <w:szCs w:val="20"/>
      </w:rPr>
    </w:pPr>
    <w:r w:rsidDel="00000000" w:rsidR="00000000" w:rsidRPr="00000000">
      <w:rPr>
        <w:rFonts w:ascii="Gordita" w:cs="Gordita" w:eastAsia="Gordita" w:hAnsi="Gordita"/>
        <w:color w:val="000000"/>
        <w:sz w:val="20"/>
        <w:szCs w:val="20"/>
        <w:highlight w:val="white"/>
        <w:rtl w:val="0"/>
      </w:rPr>
      <w:t xml:space="preserve">The Art House, Drury Lane, Wakefield, WF1 2TE  |  01924 312000  </w:t>
      <w:br w:type="textWrapping"/>
      <w:t xml:space="preserve"> info@the-arthouse.org.uk  | the-arthouse.org.uk   | Registered charity no. 1063671</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4562475</wp:posOffset>
          </wp:positionH>
          <wp:positionV relativeFrom="paragraph">
            <wp:posOffset>155575</wp:posOffset>
          </wp:positionV>
          <wp:extent cx="1664335" cy="372110"/>
          <wp:effectExtent b="0" l="0" r="0" t="0"/>
          <wp:wrapSquare wrapText="bothSides" distB="0" distT="0" distL="114300" distR="114300"/>
          <wp:docPr id="150354471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64335" cy="3721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3022600</wp:posOffset>
          </wp:positionH>
          <wp:positionV relativeFrom="paragraph">
            <wp:posOffset>146148</wp:posOffset>
          </wp:positionV>
          <wp:extent cx="1412875" cy="391795"/>
          <wp:effectExtent b="0" l="0" r="0" t="0"/>
          <wp:wrapSquare wrapText="bothSides" distB="0" distT="0" distL="114300" distR="114300"/>
          <wp:docPr id="150354471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12875" cy="39179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394"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3296355</wp:posOffset>
          </wp:positionH>
          <wp:positionV relativeFrom="paragraph">
            <wp:posOffset>-53904</wp:posOffset>
          </wp:positionV>
          <wp:extent cx="3070578" cy="716446"/>
          <wp:effectExtent b="0" l="0" r="0" t="0"/>
          <wp:wrapSquare wrapText="bothSides" distB="0" distT="0" distL="114300" distR="114300"/>
          <wp:docPr id="1503544715"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3070578" cy="71644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GB"/>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0868E2"/>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0868E2"/>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0868E2"/>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0868E2"/>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0868E2"/>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0868E2"/>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0868E2"/>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0868E2"/>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868E2"/>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868E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0868E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0868E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0868E2"/>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0868E2"/>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0868E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0868E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0868E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0868E2"/>
    <w:rPr>
      <w:rFonts w:cstheme="majorBidi" w:eastAsiaTheme="majorEastAsia"/>
      <w:color w:val="272727" w:themeColor="text1" w:themeTint="0000D8"/>
    </w:rPr>
  </w:style>
  <w:style w:type="paragraph" w:styleId="Title">
    <w:name w:val="Title"/>
    <w:basedOn w:val="Normal"/>
    <w:next w:val="Normal"/>
    <w:link w:val="TitleChar"/>
    <w:uiPriority w:val="10"/>
    <w:qFormat w:val="1"/>
    <w:rsid w:val="000868E2"/>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868E2"/>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0868E2"/>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0868E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0868E2"/>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0868E2"/>
    <w:rPr>
      <w:i w:val="1"/>
      <w:iCs w:val="1"/>
      <w:color w:val="404040" w:themeColor="text1" w:themeTint="0000BF"/>
    </w:rPr>
  </w:style>
  <w:style w:type="paragraph" w:styleId="ListParagraph">
    <w:name w:val="List Paragraph"/>
    <w:basedOn w:val="Normal"/>
    <w:uiPriority w:val="34"/>
    <w:qFormat w:val="1"/>
    <w:rsid w:val="000868E2"/>
    <w:pPr>
      <w:ind w:left="720"/>
      <w:contextualSpacing w:val="1"/>
    </w:pPr>
  </w:style>
  <w:style w:type="character" w:styleId="IntenseEmphasis">
    <w:name w:val="Intense Emphasis"/>
    <w:basedOn w:val="DefaultParagraphFont"/>
    <w:uiPriority w:val="21"/>
    <w:qFormat w:val="1"/>
    <w:rsid w:val="000868E2"/>
    <w:rPr>
      <w:i w:val="1"/>
      <w:iCs w:val="1"/>
      <w:color w:val="0f4761" w:themeColor="accent1" w:themeShade="0000BF"/>
    </w:rPr>
  </w:style>
  <w:style w:type="paragraph" w:styleId="IntenseQuote">
    <w:name w:val="Intense Quote"/>
    <w:basedOn w:val="Normal"/>
    <w:next w:val="Normal"/>
    <w:link w:val="IntenseQuoteChar"/>
    <w:uiPriority w:val="30"/>
    <w:qFormat w:val="1"/>
    <w:rsid w:val="000868E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0868E2"/>
    <w:rPr>
      <w:i w:val="1"/>
      <w:iCs w:val="1"/>
      <w:color w:val="0f4761" w:themeColor="accent1" w:themeShade="0000BF"/>
    </w:rPr>
  </w:style>
  <w:style w:type="character" w:styleId="IntenseReference">
    <w:name w:val="Intense Reference"/>
    <w:basedOn w:val="DefaultParagraphFont"/>
    <w:uiPriority w:val="32"/>
    <w:qFormat w:val="1"/>
    <w:rsid w:val="000868E2"/>
    <w:rPr>
      <w:b w:val="1"/>
      <w:bCs w:val="1"/>
      <w:smallCaps w:val="1"/>
      <w:color w:val="0f4761" w:themeColor="accent1" w:themeShade="0000BF"/>
      <w:spacing w:val="5"/>
    </w:rPr>
  </w:style>
  <w:style w:type="paragraph" w:styleId="Header">
    <w:name w:val="header"/>
    <w:basedOn w:val="Normal"/>
    <w:link w:val="HeaderChar"/>
    <w:uiPriority w:val="99"/>
    <w:unhideWhenUsed w:val="1"/>
    <w:rsid w:val="00BB1611"/>
    <w:pPr>
      <w:tabs>
        <w:tab w:val="center" w:pos="4513"/>
        <w:tab w:val="right" w:pos="9026"/>
      </w:tabs>
      <w:spacing w:after="0" w:line="240" w:lineRule="auto"/>
    </w:pPr>
  </w:style>
  <w:style w:type="character" w:styleId="HeaderChar" w:customStyle="1">
    <w:name w:val="Header Char"/>
    <w:basedOn w:val="DefaultParagraphFont"/>
    <w:link w:val="Header"/>
    <w:uiPriority w:val="99"/>
    <w:rsid w:val="00BB1611"/>
  </w:style>
  <w:style w:type="paragraph" w:styleId="Footer">
    <w:name w:val="footer"/>
    <w:basedOn w:val="Normal"/>
    <w:link w:val="FooterChar"/>
    <w:uiPriority w:val="99"/>
    <w:unhideWhenUsed w:val="1"/>
    <w:rsid w:val="00BB1611"/>
    <w:pPr>
      <w:tabs>
        <w:tab w:val="center" w:pos="4513"/>
        <w:tab w:val="right" w:pos="9026"/>
      </w:tabs>
      <w:spacing w:after="0" w:line="240" w:lineRule="auto"/>
    </w:pPr>
  </w:style>
  <w:style w:type="character" w:styleId="FooterChar" w:customStyle="1">
    <w:name w:val="Footer Char"/>
    <w:basedOn w:val="DefaultParagraphFont"/>
    <w:link w:val="Footer"/>
    <w:uiPriority w:val="99"/>
    <w:rsid w:val="00BB1611"/>
  </w:style>
  <w:style w:type="character" w:styleId="Hyperlink">
    <w:name w:val="Hyperlink"/>
    <w:basedOn w:val="DefaultParagraphFont"/>
    <w:uiPriority w:val="99"/>
    <w:unhideWhenUsed w:val="1"/>
    <w:rsid w:val="00BB1611"/>
    <w:rPr>
      <w:color w:val="0000ff"/>
      <w:u w:val="single"/>
    </w:rPr>
  </w:style>
  <w:style w:type="character" w:styleId="UnresolvedMention">
    <w:name w:val="Unresolved Mention"/>
    <w:basedOn w:val="DefaultParagraphFont"/>
    <w:uiPriority w:val="99"/>
    <w:semiHidden w:val="1"/>
    <w:unhideWhenUsed w:val="1"/>
    <w:rsid w:val="00BB1611"/>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DPeD4w9Qo+ZTXF+wOZzAluYwDQ==">CgMxLjA4AHIhMWgxQldoWkNuU1lPYXhEU1ZnUXg3UGlTMVNfTjRzd2xy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2024-09-09T17:03:00Z</dcterms:created>
  <dc:creator>Gemma Adams</dc:creator>
</cp:coreProperties>
</file>